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220" w:rsidRPr="00F23F50" w:rsidRDefault="00F23F50" w:rsidP="00F23F50">
      <w:pPr>
        <w:jc w:val="center"/>
        <w:rPr>
          <w:b/>
        </w:rPr>
      </w:pPr>
      <w:r w:rsidRPr="00F23F50">
        <w:rPr>
          <w:b/>
        </w:rPr>
        <w:t>One-sample t test</w:t>
      </w:r>
      <w:r w:rsidR="00B27DF6">
        <w:rPr>
          <w:b/>
        </w:rPr>
        <w:t xml:space="preserve"> Results Presentation</w:t>
      </w:r>
    </w:p>
    <w:p w:rsidR="00F23F50" w:rsidRDefault="00F23F50"/>
    <w:p w:rsidR="00651C55" w:rsidRPr="00651C55" w:rsidRDefault="00284BA1" w:rsidP="00B0353D">
      <w:pPr>
        <w:rPr>
          <w:b/>
        </w:rPr>
      </w:pPr>
      <w:r>
        <w:rPr>
          <w:b/>
        </w:rPr>
        <w:t>11</w:t>
      </w:r>
      <w:r w:rsidR="00651C55" w:rsidRPr="00651C55">
        <w:rPr>
          <w:b/>
        </w:rPr>
        <w:t>. APA Style Results Presentation</w:t>
      </w:r>
    </w:p>
    <w:p w:rsidR="00B0353D" w:rsidRDefault="00B0353D" w:rsidP="00B0353D"/>
    <w:p w:rsidR="00C0632A" w:rsidRDefault="00C0632A" w:rsidP="00B0353D">
      <w:r>
        <w:t>It is possible to report one-sample t-test results in either text</w:t>
      </w:r>
      <w:r w:rsidR="00421939">
        <w:t>ual</w:t>
      </w:r>
      <w:r>
        <w:t xml:space="preserve"> or tabular format, but for this course present results in tabular format. Both options are provided below.</w:t>
      </w:r>
    </w:p>
    <w:p w:rsidR="00C0632A" w:rsidRDefault="00C0632A" w:rsidP="00B0353D"/>
    <w:p w:rsidR="00C0632A" w:rsidRPr="00C0632A" w:rsidRDefault="00D457E3" w:rsidP="00C0632A">
      <w:pPr>
        <w:ind w:left="720"/>
        <w:rPr>
          <w:b/>
        </w:rPr>
      </w:pPr>
      <w:r>
        <w:rPr>
          <w:b/>
        </w:rPr>
        <w:t xml:space="preserve">(a) </w:t>
      </w:r>
      <w:r w:rsidR="00C0632A" w:rsidRPr="00C0632A">
        <w:rPr>
          <w:b/>
        </w:rPr>
        <w:t>Text Format</w:t>
      </w:r>
    </w:p>
    <w:p w:rsidR="00C0632A" w:rsidRDefault="00C0632A" w:rsidP="00B0353D"/>
    <w:p w:rsidR="00C0632A" w:rsidRDefault="00D457E3" w:rsidP="00B0353D">
      <w:r>
        <w:t xml:space="preserve">With </w:t>
      </w:r>
      <w:proofErr w:type="gramStart"/>
      <w:r>
        <w:t>either format</w:t>
      </w:r>
      <w:proofErr w:type="gramEnd"/>
      <w:r>
        <w:t>, text or table, one should present written results that include an inferential component (i.e., explain whether the null was rejected) and interpretational component (i.e., explain what results mean). The inferential component will normally have some wording about statistical significance or non-significant results. Recall that significant means only that the null was reject</w:t>
      </w:r>
      <w:r w:rsidR="00E86ED9">
        <w:t>ed</w:t>
      </w:r>
      <w:r>
        <w:t xml:space="preserve">; it does not mean something important was found. </w:t>
      </w:r>
      <w:r w:rsidR="003963CB">
        <w:t xml:space="preserve">This wording tells readers </w:t>
      </w:r>
      <w:r w:rsidR="00E86ED9">
        <w:t xml:space="preserve">the null was </w:t>
      </w:r>
      <w:r w:rsidR="003963CB">
        <w:t xml:space="preserve">rejected </w:t>
      </w:r>
      <w:r w:rsidR="00E86ED9">
        <w:t xml:space="preserve">with </w:t>
      </w:r>
      <w:proofErr w:type="gramStart"/>
      <w:r w:rsidR="003963CB">
        <w:t>an</w:t>
      </w:r>
      <w:proofErr w:type="gramEnd"/>
      <w:r w:rsidR="003963CB">
        <w:t xml:space="preserve"> Type 1 error rate of .05: “There was a statistically significant mean difference, at the .05 level, in response rates.” This sentence indicates the null was not rejected: “There was no statistically significant mean difference, at the .05 level, in response rates.”</w:t>
      </w:r>
      <w:r w:rsidR="005301A5">
        <w:t xml:space="preserve"> The interpretation component will inform readers what the results mean in simple language. For example: “Response rates for students in class A were higher than for students in class B.”</w:t>
      </w:r>
    </w:p>
    <w:p w:rsidR="003963CB" w:rsidRDefault="003963CB" w:rsidP="00B0353D"/>
    <w:p w:rsidR="00045BA9" w:rsidRDefault="00045BA9" w:rsidP="00B0353D">
      <w:r>
        <w:t xml:space="preserve">Below is a sample results presentation for the systolic blood pressure data. </w:t>
      </w:r>
    </w:p>
    <w:p w:rsidR="00045BA9" w:rsidRDefault="00045BA9" w:rsidP="00B0353D"/>
    <w:p w:rsidR="005301A5" w:rsidRDefault="003963CB" w:rsidP="00E906DE">
      <w:pPr>
        <w:ind w:left="720"/>
      </w:pPr>
      <w:r>
        <w:t>Systolic</w:t>
      </w:r>
      <w:r w:rsidR="00C167F5">
        <w:t xml:space="preserve"> blood pressure for the sample of EDUR 8131 students was statistically different, at the .05 of significance, from the normed value of 120 (M = 146.38, SD = 17.75, n = 8, 95%CI on mean difference = 11.53 to 41.22, t = 4.20, </w:t>
      </w:r>
      <w:proofErr w:type="spellStart"/>
      <w:proofErr w:type="gramStart"/>
      <w:r w:rsidR="00C167F5">
        <w:t>df</w:t>
      </w:r>
      <w:proofErr w:type="spellEnd"/>
      <w:proofErr w:type="gramEnd"/>
      <w:r w:rsidR="00C167F5">
        <w:t xml:space="preserve"> = 7, p &lt; .05). Results show that EDUR 8131 students have a higher mean systolic blood pressure than people nationwide. </w:t>
      </w:r>
    </w:p>
    <w:p w:rsidR="005301A5" w:rsidRDefault="005301A5" w:rsidP="00B0353D"/>
    <w:p w:rsidR="002330B4" w:rsidRPr="00C0632A" w:rsidRDefault="002330B4" w:rsidP="002330B4">
      <w:pPr>
        <w:ind w:left="720"/>
        <w:rPr>
          <w:b/>
        </w:rPr>
      </w:pPr>
      <w:r>
        <w:rPr>
          <w:b/>
        </w:rPr>
        <w:t xml:space="preserve">(b) </w:t>
      </w:r>
      <w:r w:rsidR="003C5409">
        <w:rPr>
          <w:b/>
        </w:rPr>
        <w:t>Tabl</w:t>
      </w:r>
      <w:r w:rsidR="00BC743E">
        <w:rPr>
          <w:b/>
        </w:rPr>
        <w:t>e</w:t>
      </w:r>
      <w:bookmarkStart w:id="0" w:name="_GoBack"/>
      <w:bookmarkEnd w:id="0"/>
      <w:r w:rsidRPr="00C0632A">
        <w:rPr>
          <w:b/>
        </w:rPr>
        <w:t xml:space="preserve"> Format</w:t>
      </w:r>
      <w:r w:rsidR="00FF691E">
        <w:rPr>
          <w:b/>
        </w:rPr>
        <w:t xml:space="preserve"> (this format preferred)</w:t>
      </w:r>
    </w:p>
    <w:p w:rsidR="00C0632A" w:rsidRPr="003925C4" w:rsidRDefault="00C0632A" w:rsidP="00B0353D">
      <w:pPr>
        <w:rPr>
          <w:rFonts w:cstheme="minorHAnsi"/>
        </w:rPr>
      </w:pPr>
    </w:p>
    <w:p w:rsidR="002330B4" w:rsidRPr="003925C4" w:rsidRDefault="002330B4" w:rsidP="003675E5">
      <w:pPr>
        <w:rPr>
          <w:rFonts w:cstheme="minorHAnsi"/>
          <w:sz w:val="20"/>
          <w:szCs w:val="20"/>
        </w:rPr>
      </w:pPr>
      <w:r w:rsidRPr="003925C4">
        <w:rPr>
          <w:rFonts w:cstheme="minorHAnsi"/>
          <w:sz w:val="20"/>
          <w:szCs w:val="20"/>
        </w:rPr>
        <w:t xml:space="preserve">Sometimes it is more efficient and easier to comprehend if results are presented in tabular format with corresponding text presentation. Below is an example for both the blood pressure and M&amp;M data. </w:t>
      </w:r>
    </w:p>
    <w:p w:rsidR="00A20F31" w:rsidRDefault="00A20F31" w:rsidP="00A20F31">
      <w:pPr>
        <w:rPr>
          <w:rFonts w:ascii="TimesNewRoman" w:hAnsi="TimesNewRoman" w:cs="TimesNewRoman"/>
          <w:sz w:val="20"/>
          <w:szCs w:val="20"/>
        </w:rPr>
      </w:pPr>
    </w:p>
    <w:p w:rsidR="00B743D2" w:rsidRDefault="007874C5" w:rsidP="00FC2FE5">
      <w:pPr>
        <w:rPr>
          <w:i/>
        </w:rPr>
      </w:pPr>
      <w:r>
        <w:rPr>
          <w:i/>
        </w:rPr>
        <w:t xml:space="preserve">Table </w:t>
      </w:r>
      <w:r w:rsidR="00B743D2">
        <w:rPr>
          <w:i/>
        </w:rPr>
        <w:t>1</w:t>
      </w:r>
      <w:r>
        <w:rPr>
          <w:i/>
        </w:rPr>
        <w:t xml:space="preserve"> </w:t>
      </w:r>
    </w:p>
    <w:p w:rsidR="000E7DCA" w:rsidRDefault="007874C5" w:rsidP="00FC2FE5">
      <w:pPr>
        <w:rPr>
          <w:i/>
        </w:rPr>
      </w:pPr>
      <w:r>
        <w:rPr>
          <w:i/>
        </w:rPr>
        <w:t>Results of One-sample t-test and Descriptive Statistics for Systolic Blood Pressure and M&amp;M Bag Content Weight</w:t>
      </w:r>
    </w:p>
    <w:tbl>
      <w:tblPr>
        <w:tblW w:w="10278" w:type="dxa"/>
        <w:tblLayout w:type="fixed"/>
        <w:tblCellMar>
          <w:left w:w="0" w:type="dxa"/>
          <w:right w:w="0" w:type="dxa"/>
        </w:tblCellMar>
        <w:tblLook w:val="04A0" w:firstRow="1" w:lastRow="0" w:firstColumn="1" w:lastColumn="0" w:noHBand="0" w:noVBand="1"/>
      </w:tblPr>
      <w:tblGrid>
        <w:gridCol w:w="2538"/>
        <w:gridCol w:w="180"/>
        <w:gridCol w:w="720"/>
        <w:gridCol w:w="810"/>
        <w:gridCol w:w="540"/>
        <w:gridCol w:w="270"/>
        <w:gridCol w:w="1530"/>
        <w:gridCol w:w="2160"/>
        <w:gridCol w:w="810"/>
        <w:gridCol w:w="720"/>
      </w:tblGrid>
      <w:tr w:rsidR="0080213D" w:rsidTr="00FC2FE5">
        <w:trPr>
          <w:cantSplit/>
        </w:trPr>
        <w:tc>
          <w:tcPr>
            <w:tcW w:w="2538" w:type="dxa"/>
            <w:tcBorders>
              <w:top w:val="single" w:sz="4" w:space="0" w:color="auto"/>
              <w:left w:val="nil"/>
              <w:bottom w:val="single" w:sz="4" w:space="0" w:color="auto"/>
              <w:right w:val="nil"/>
            </w:tcBorders>
            <w:vAlign w:val="center"/>
          </w:tcPr>
          <w:p w:rsidR="000E3D4A" w:rsidRDefault="005414EA">
            <w:r>
              <w:t>Outcome</w:t>
            </w:r>
          </w:p>
        </w:tc>
        <w:tc>
          <w:tcPr>
            <w:tcW w:w="180" w:type="dxa"/>
            <w:tcBorders>
              <w:top w:val="single" w:sz="4" w:space="0" w:color="auto"/>
              <w:left w:val="nil"/>
              <w:right w:val="nil"/>
            </w:tcBorders>
            <w:vAlign w:val="center"/>
          </w:tcPr>
          <w:p w:rsidR="000E3D4A" w:rsidRDefault="000E3D4A">
            <w:pPr>
              <w:jc w:val="center"/>
            </w:pPr>
          </w:p>
        </w:tc>
        <w:tc>
          <w:tcPr>
            <w:tcW w:w="720" w:type="dxa"/>
            <w:tcBorders>
              <w:top w:val="single" w:sz="4" w:space="0" w:color="auto"/>
              <w:left w:val="nil"/>
              <w:bottom w:val="single" w:sz="4" w:space="0" w:color="auto"/>
              <w:right w:val="nil"/>
            </w:tcBorders>
            <w:vAlign w:val="center"/>
          </w:tcPr>
          <w:p w:rsidR="000E3D4A" w:rsidRDefault="000E3D4A">
            <w:pPr>
              <w:jc w:val="center"/>
            </w:pPr>
            <w:r>
              <w:t>M</w:t>
            </w:r>
          </w:p>
        </w:tc>
        <w:tc>
          <w:tcPr>
            <w:tcW w:w="810" w:type="dxa"/>
            <w:tcBorders>
              <w:top w:val="single" w:sz="4" w:space="0" w:color="auto"/>
              <w:left w:val="nil"/>
              <w:bottom w:val="single" w:sz="4" w:space="0" w:color="auto"/>
              <w:right w:val="nil"/>
            </w:tcBorders>
            <w:vAlign w:val="center"/>
          </w:tcPr>
          <w:p w:rsidR="000E3D4A" w:rsidRDefault="000E3D4A">
            <w:pPr>
              <w:jc w:val="center"/>
            </w:pPr>
            <w:r>
              <w:t>SD</w:t>
            </w:r>
          </w:p>
        </w:tc>
        <w:tc>
          <w:tcPr>
            <w:tcW w:w="540" w:type="dxa"/>
            <w:tcBorders>
              <w:top w:val="single" w:sz="4" w:space="0" w:color="auto"/>
              <w:left w:val="nil"/>
              <w:bottom w:val="single" w:sz="4" w:space="0" w:color="auto"/>
              <w:right w:val="nil"/>
            </w:tcBorders>
            <w:vAlign w:val="center"/>
          </w:tcPr>
          <w:p w:rsidR="000E3D4A" w:rsidRDefault="000E3D4A" w:rsidP="00B24A76">
            <w:pPr>
              <w:jc w:val="center"/>
            </w:pPr>
            <w:r>
              <w:t>n</w:t>
            </w:r>
          </w:p>
        </w:tc>
        <w:tc>
          <w:tcPr>
            <w:tcW w:w="270" w:type="dxa"/>
            <w:tcBorders>
              <w:top w:val="single" w:sz="4" w:space="0" w:color="auto"/>
              <w:left w:val="nil"/>
              <w:right w:val="nil"/>
            </w:tcBorders>
            <w:vAlign w:val="center"/>
          </w:tcPr>
          <w:p w:rsidR="000E3D4A" w:rsidRDefault="000E3D4A" w:rsidP="00B24A76">
            <w:pPr>
              <w:jc w:val="center"/>
            </w:pPr>
          </w:p>
        </w:tc>
        <w:tc>
          <w:tcPr>
            <w:tcW w:w="1530" w:type="dxa"/>
            <w:tcBorders>
              <w:top w:val="single" w:sz="4" w:space="0" w:color="auto"/>
              <w:left w:val="nil"/>
              <w:bottom w:val="single" w:sz="4" w:space="0" w:color="auto"/>
              <w:right w:val="nil"/>
            </w:tcBorders>
            <w:vAlign w:val="center"/>
          </w:tcPr>
          <w:p w:rsidR="000E3D4A" w:rsidRDefault="0080213D">
            <w:pPr>
              <w:jc w:val="center"/>
            </w:pPr>
            <w:r>
              <w:t>Comparison Value</w:t>
            </w:r>
          </w:p>
        </w:tc>
        <w:tc>
          <w:tcPr>
            <w:tcW w:w="2160" w:type="dxa"/>
            <w:tcBorders>
              <w:top w:val="single" w:sz="4" w:space="0" w:color="auto"/>
              <w:left w:val="nil"/>
              <w:bottom w:val="single" w:sz="4" w:space="0" w:color="auto"/>
              <w:right w:val="nil"/>
            </w:tcBorders>
            <w:vAlign w:val="center"/>
            <w:hideMark/>
          </w:tcPr>
          <w:p w:rsidR="000E3D4A" w:rsidRDefault="005414EA" w:rsidP="005414EA">
            <w:pPr>
              <w:jc w:val="center"/>
            </w:pPr>
            <w:r>
              <w:t>95% CI for Mean Difference</w:t>
            </w:r>
          </w:p>
        </w:tc>
        <w:tc>
          <w:tcPr>
            <w:tcW w:w="810" w:type="dxa"/>
            <w:tcBorders>
              <w:top w:val="single" w:sz="4" w:space="0" w:color="auto"/>
              <w:left w:val="nil"/>
              <w:bottom w:val="single" w:sz="4" w:space="0" w:color="auto"/>
              <w:right w:val="nil"/>
            </w:tcBorders>
            <w:vAlign w:val="center"/>
            <w:hideMark/>
          </w:tcPr>
          <w:p w:rsidR="000E3D4A" w:rsidRDefault="000E3D4A">
            <w:pPr>
              <w:jc w:val="center"/>
            </w:pPr>
            <w:r>
              <w:t>t</w:t>
            </w:r>
          </w:p>
        </w:tc>
        <w:tc>
          <w:tcPr>
            <w:tcW w:w="720" w:type="dxa"/>
            <w:tcBorders>
              <w:top w:val="single" w:sz="4" w:space="0" w:color="auto"/>
              <w:left w:val="nil"/>
              <w:bottom w:val="single" w:sz="4" w:space="0" w:color="auto"/>
              <w:right w:val="nil"/>
            </w:tcBorders>
            <w:vAlign w:val="center"/>
            <w:hideMark/>
          </w:tcPr>
          <w:p w:rsidR="000E3D4A" w:rsidRDefault="000E3D4A">
            <w:pPr>
              <w:jc w:val="center"/>
            </w:pPr>
            <w:proofErr w:type="spellStart"/>
            <w:r>
              <w:t>df</w:t>
            </w:r>
            <w:proofErr w:type="spellEnd"/>
          </w:p>
        </w:tc>
      </w:tr>
      <w:tr w:rsidR="0080213D" w:rsidTr="00FC2FE5">
        <w:tc>
          <w:tcPr>
            <w:tcW w:w="2538" w:type="dxa"/>
            <w:tcBorders>
              <w:top w:val="single" w:sz="4" w:space="0" w:color="auto"/>
              <w:left w:val="nil"/>
              <w:bottom w:val="nil"/>
              <w:right w:val="nil"/>
            </w:tcBorders>
            <w:hideMark/>
          </w:tcPr>
          <w:p w:rsidR="000E3D4A" w:rsidRDefault="000E3D4A">
            <w:r>
              <w:t>Systolic Blood Pressure</w:t>
            </w:r>
          </w:p>
        </w:tc>
        <w:tc>
          <w:tcPr>
            <w:tcW w:w="180" w:type="dxa"/>
            <w:tcBorders>
              <w:left w:val="nil"/>
              <w:bottom w:val="nil"/>
              <w:right w:val="nil"/>
            </w:tcBorders>
            <w:vAlign w:val="center"/>
          </w:tcPr>
          <w:p w:rsidR="000E3D4A" w:rsidRDefault="000E3D4A">
            <w:pPr>
              <w:jc w:val="center"/>
            </w:pPr>
          </w:p>
        </w:tc>
        <w:tc>
          <w:tcPr>
            <w:tcW w:w="720" w:type="dxa"/>
            <w:tcBorders>
              <w:top w:val="single" w:sz="4" w:space="0" w:color="auto"/>
              <w:left w:val="nil"/>
              <w:bottom w:val="nil"/>
              <w:right w:val="nil"/>
            </w:tcBorders>
            <w:vAlign w:val="center"/>
          </w:tcPr>
          <w:p w:rsidR="000E3D4A" w:rsidRDefault="00045D2A">
            <w:pPr>
              <w:jc w:val="center"/>
            </w:pPr>
            <w:r>
              <w:t>146.38</w:t>
            </w:r>
          </w:p>
        </w:tc>
        <w:tc>
          <w:tcPr>
            <w:tcW w:w="810" w:type="dxa"/>
            <w:tcBorders>
              <w:top w:val="single" w:sz="4" w:space="0" w:color="auto"/>
              <w:left w:val="nil"/>
              <w:bottom w:val="nil"/>
              <w:right w:val="nil"/>
            </w:tcBorders>
            <w:vAlign w:val="center"/>
          </w:tcPr>
          <w:p w:rsidR="000E3D4A" w:rsidRDefault="00045D2A">
            <w:pPr>
              <w:jc w:val="center"/>
            </w:pPr>
            <w:r>
              <w:t>17.75</w:t>
            </w:r>
          </w:p>
        </w:tc>
        <w:tc>
          <w:tcPr>
            <w:tcW w:w="540" w:type="dxa"/>
            <w:tcBorders>
              <w:top w:val="single" w:sz="4" w:space="0" w:color="auto"/>
              <w:left w:val="nil"/>
              <w:bottom w:val="nil"/>
              <w:right w:val="nil"/>
            </w:tcBorders>
            <w:vAlign w:val="center"/>
          </w:tcPr>
          <w:p w:rsidR="000E3D4A" w:rsidRDefault="00045D2A" w:rsidP="00B24A76">
            <w:pPr>
              <w:jc w:val="center"/>
            </w:pPr>
            <w:r>
              <w:t>8</w:t>
            </w:r>
          </w:p>
        </w:tc>
        <w:tc>
          <w:tcPr>
            <w:tcW w:w="270" w:type="dxa"/>
            <w:tcBorders>
              <w:left w:val="nil"/>
              <w:bottom w:val="nil"/>
              <w:right w:val="nil"/>
            </w:tcBorders>
            <w:vAlign w:val="center"/>
          </w:tcPr>
          <w:p w:rsidR="000E3D4A" w:rsidRDefault="000E3D4A" w:rsidP="00B24A76">
            <w:pPr>
              <w:jc w:val="center"/>
            </w:pPr>
          </w:p>
        </w:tc>
        <w:tc>
          <w:tcPr>
            <w:tcW w:w="1530" w:type="dxa"/>
            <w:tcBorders>
              <w:top w:val="single" w:sz="4" w:space="0" w:color="auto"/>
              <w:left w:val="nil"/>
              <w:bottom w:val="nil"/>
              <w:right w:val="nil"/>
            </w:tcBorders>
            <w:vAlign w:val="center"/>
          </w:tcPr>
          <w:p w:rsidR="000E3D4A" w:rsidRDefault="00045D2A" w:rsidP="00F9404D">
            <w:pPr>
              <w:jc w:val="center"/>
            </w:pPr>
            <w:r>
              <w:t>120</w:t>
            </w:r>
          </w:p>
        </w:tc>
        <w:tc>
          <w:tcPr>
            <w:tcW w:w="2160" w:type="dxa"/>
            <w:tcBorders>
              <w:top w:val="single" w:sz="4" w:space="0" w:color="auto"/>
              <w:left w:val="nil"/>
              <w:bottom w:val="nil"/>
              <w:right w:val="nil"/>
            </w:tcBorders>
            <w:vAlign w:val="center"/>
          </w:tcPr>
          <w:p w:rsidR="000E3D4A" w:rsidRDefault="00045D2A">
            <w:pPr>
              <w:jc w:val="center"/>
            </w:pPr>
            <w:r>
              <w:t>11.53, 41.22</w:t>
            </w:r>
          </w:p>
        </w:tc>
        <w:tc>
          <w:tcPr>
            <w:tcW w:w="810" w:type="dxa"/>
            <w:tcBorders>
              <w:top w:val="single" w:sz="4" w:space="0" w:color="auto"/>
              <w:left w:val="nil"/>
              <w:bottom w:val="nil"/>
              <w:right w:val="nil"/>
            </w:tcBorders>
            <w:vAlign w:val="center"/>
          </w:tcPr>
          <w:p w:rsidR="000E3D4A" w:rsidRDefault="00045D2A" w:rsidP="00045D2A">
            <w:pPr>
              <w:jc w:val="center"/>
            </w:pPr>
            <w:r>
              <w:t>4.20*</w:t>
            </w:r>
          </w:p>
        </w:tc>
        <w:tc>
          <w:tcPr>
            <w:tcW w:w="720" w:type="dxa"/>
            <w:tcBorders>
              <w:top w:val="single" w:sz="4" w:space="0" w:color="auto"/>
              <w:left w:val="nil"/>
              <w:bottom w:val="nil"/>
              <w:right w:val="nil"/>
            </w:tcBorders>
            <w:vAlign w:val="center"/>
          </w:tcPr>
          <w:p w:rsidR="000E3D4A" w:rsidRDefault="00045D2A">
            <w:pPr>
              <w:jc w:val="center"/>
            </w:pPr>
            <w:r>
              <w:t>7</w:t>
            </w:r>
          </w:p>
        </w:tc>
      </w:tr>
      <w:tr w:rsidR="0080213D" w:rsidTr="00FC2FE5">
        <w:tc>
          <w:tcPr>
            <w:tcW w:w="2538" w:type="dxa"/>
            <w:tcBorders>
              <w:top w:val="nil"/>
              <w:left w:val="nil"/>
              <w:bottom w:val="single" w:sz="4" w:space="0" w:color="auto"/>
              <w:right w:val="nil"/>
            </w:tcBorders>
            <w:hideMark/>
          </w:tcPr>
          <w:p w:rsidR="000E3D4A" w:rsidRDefault="0080213D" w:rsidP="0080213D">
            <w:r>
              <w:t xml:space="preserve">M&amp;M Bag </w:t>
            </w:r>
            <w:r w:rsidR="000E3D4A">
              <w:t xml:space="preserve">Content Weight </w:t>
            </w:r>
          </w:p>
        </w:tc>
        <w:tc>
          <w:tcPr>
            <w:tcW w:w="180" w:type="dxa"/>
            <w:tcBorders>
              <w:top w:val="nil"/>
              <w:left w:val="nil"/>
              <w:bottom w:val="single" w:sz="4" w:space="0" w:color="auto"/>
              <w:right w:val="nil"/>
            </w:tcBorders>
            <w:vAlign w:val="center"/>
          </w:tcPr>
          <w:p w:rsidR="000E3D4A" w:rsidRDefault="000E3D4A">
            <w:pPr>
              <w:jc w:val="center"/>
            </w:pPr>
          </w:p>
        </w:tc>
        <w:tc>
          <w:tcPr>
            <w:tcW w:w="720" w:type="dxa"/>
            <w:tcBorders>
              <w:top w:val="nil"/>
              <w:left w:val="nil"/>
              <w:bottom w:val="single" w:sz="4" w:space="0" w:color="auto"/>
              <w:right w:val="nil"/>
            </w:tcBorders>
            <w:vAlign w:val="center"/>
          </w:tcPr>
          <w:p w:rsidR="000E3D4A" w:rsidRDefault="00045D2A">
            <w:pPr>
              <w:jc w:val="center"/>
            </w:pPr>
            <w:r>
              <w:t>1.71</w:t>
            </w:r>
          </w:p>
        </w:tc>
        <w:tc>
          <w:tcPr>
            <w:tcW w:w="810" w:type="dxa"/>
            <w:tcBorders>
              <w:top w:val="nil"/>
              <w:left w:val="nil"/>
              <w:bottom w:val="single" w:sz="4" w:space="0" w:color="auto"/>
              <w:right w:val="nil"/>
            </w:tcBorders>
            <w:vAlign w:val="center"/>
          </w:tcPr>
          <w:p w:rsidR="000E3D4A" w:rsidRDefault="00045D2A">
            <w:pPr>
              <w:jc w:val="center"/>
            </w:pPr>
            <w:r>
              <w:t>0.07</w:t>
            </w:r>
          </w:p>
        </w:tc>
        <w:tc>
          <w:tcPr>
            <w:tcW w:w="540" w:type="dxa"/>
            <w:tcBorders>
              <w:top w:val="nil"/>
              <w:left w:val="nil"/>
              <w:bottom w:val="single" w:sz="4" w:space="0" w:color="auto"/>
              <w:right w:val="nil"/>
            </w:tcBorders>
            <w:vAlign w:val="center"/>
          </w:tcPr>
          <w:p w:rsidR="000E3D4A" w:rsidRDefault="00045D2A" w:rsidP="00B24A76">
            <w:pPr>
              <w:jc w:val="center"/>
            </w:pPr>
            <w:r>
              <w:t>10</w:t>
            </w:r>
          </w:p>
        </w:tc>
        <w:tc>
          <w:tcPr>
            <w:tcW w:w="270" w:type="dxa"/>
            <w:tcBorders>
              <w:top w:val="nil"/>
              <w:left w:val="nil"/>
              <w:bottom w:val="single" w:sz="4" w:space="0" w:color="auto"/>
              <w:right w:val="nil"/>
            </w:tcBorders>
            <w:vAlign w:val="center"/>
          </w:tcPr>
          <w:p w:rsidR="000E3D4A" w:rsidRDefault="000E3D4A" w:rsidP="00B24A76">
            <w:pPr>
              <w:jc w:val="center"/>
            </w:pPr>
          </w:p>
        </w:tc>
        <w:tc>
          <w:tcPr>
            <w:tcW w:w="1530" w:type="dxa"/>
            <w:tcBorders>
              <w:top w:val="nil"/>
              <w:left w:val="nil"/>
              <w:bottom w:val="single" w:sz="4" w:space="0" w:color="auto"/>
              <w:right w:val="nil"/>
            </w:tcBorders>
            <w:vAlign w:val="center"/>
          </w:tcPr>
          <w:p w:rsidR="000E3D4A" w:rsidRDefault="00045D2A">
            <w:pPr>
              <w:jc w:val="center"/>
            </w:pPr>
            <w:r>
              <w:t>1.74</w:t>
            </w:r>
          </w:p>
        </w:tc>
        <w:tc>
          <w:tcPr>
            <w:tcW w:w="2160" w:type="dxa"/>
            <w:tcBorders>
              <w:top w:val="nil"/>
              <w:left w:val="nil"/>
              <w:bottom w:val="single" w:sz="4" w:space="0" w:color="auto"/>
              <w:right w:val="nil"/>
            </w:tcBorders>
            <w:vAlign w:val="center"/>
          </w:tcPr>
          <w:p w:rsidR="000E3D4A" w:rsidRDefault="00045D2A">
            <w:pPr>
              <w:jc w:val="center"/>
            </w:pPr>
            <w:r>
              <w:t>-0.08, 0.02</w:t>
            </w:r>
          </w:p>
        </w:tc>
        <w:tc>
          <w:tcPr>
            <w:tcW w:w="810" w:type="dxa"/>
            <w:tcBorders>
              <w:top w:val="nil"/>
              <w:left w:val="nil"/>
              <w:bottom w:val="single" w:sz="4" w:space="0" w:color="auto"/>
              <w:right w:val="nil"/>
            </w:tcBorders>
            <w:vAlign w:val="center"/>
          </w:tcPr>
          <w:p w:rsidR="000E3D4A" w:rsidRDefault="00045D2A">
            <w:pPr>
              <w:jc w:val="center"/>
            </w:pPr>
            <w:r>
              <w:t>-1.39</w:t>
            </w:r>
          </w:p>
        </w:tc>
        <w:tc>
          <w:tcPr>
            <w:tcW w:w="720" w:type="dxa"/>
            <w:tcBorders>
              <w:top w:val="nil"/>
              <w:left w:val="nil"/>
              <w:bottom w:val="single" w:sz="4" w:space="0" w:color="auto"/>
              <w:right w:val="nil"/>
            </w:tcBorders>
            <w:vAlign w:val="center"/>
          </w:tcPr>
          <w:p w:rsidR="000E3D4A" w:rsidRDefault="00045D2A">
            <w:pPr>
              <w:jc w:val="center"/>
            </w:pPr>
            <w:r>
              <w:t>9</w:t>
            </w:r>
          </w:p>
        </w:tc>
      </w:tr>
    </w:tbl>
    <w:p w:rsidR="00A20F31" w:rsidRDefault="00A20F31" w:rsidP="00FC2FE5">
      <w:r>
        <w:t xml:space="preserve">* </w:t>
      </w:r>
      <w:proofErr w:type="gramStart"/>
      <w:r>
        <w:t>p</w:t>
      </w:r>
      <w:proofErr w:type="gramEnd"/>
      <w:r>
        <w:t xml:space="preserve"> &lt; .05.</w:t>
      </w:r>
    </w:p>
    <w:p w:rsidR="00A20F31" w:rsidRDefault="00A20F31" w:rsidP="00A20F31"/>
    <w:p w:rsidR="00B232D2" w:rsidRDefault="00B232D2" w:rsidP="00F4103C">
      <w:pPr>
        <w:ind w:left="720"/>
      </w:pPr>
      <w:r>
        <w:t>Results</w:t>
      </w:r>
      <w:r w:rsidR="00045D2A">
        <w:t xml:space="preserve"> for both the systolic blood pressure and M&amp;M content weight studies are reported in Table 1. Systolic blood pressure for the same of EDUR 8131 students was statistically different, at the .05 level of significance, from the normed value of 120. Results show that EDUR 8131 students have a higher mean systolic blood pressure than people nationwide. </w:t>
      </w:r>
    </w:p>
    <w:p w:rsidR="00045D2A" w:rsidRDefault="00045D2A" w:rsidP="00F4103C">
      <w:pPr>
        <w:ind w:left="720"/>
      </w:pPr>
    </w:p>
    <w:p w:rsidR="00045D2A" w:rsidRDefault="00045D2A" w:rsidP="00F4103C">
      <w:pPr>
        <w:ind w:left="720"/>
      </w:pPr>
      <w:r>
        <w:t xml:space="preserve">For the M&amp;M study, t-test results show that content weight does not differ statistically from the advertised value of 1.74oz. This finding suggests M&amp;M single-serving bags tend to contain about 1.74 oz. of peanut M&amp;Ms, on average. </w:t>
      </w:r>
    </w:p>
    <w:p w:rsidR="000D5651" w:rsidRDefault="000D5651" w:rsidP="00A20F31"/>
    <w:p w:rsidR="00B27DF6" w:rsidRDefault="00B27DF6" w:rsidP="00A20F31"/>
    <w:sectPr w:rsidR="00B27DF6" w:rsidSect="00F23F50">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1B8" w:rsidRDefault="001751B8" w:rsidP="002E31B1">
      <w:r>
        <w:separator/>
      </w:r>
    </w:p>
  </w:endnote>
  <w:endnote w:type="continuationSeparator" w:id="0">
    <w:p w:rsidR="001751B8" w:rsidRDefault="001751B8" w:rsidP="002E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575753"/>
      <w:docPartObj>
        <w:docPartGallery w:val="Page Numbers (Bottom of Page)"/>
        <w:docPartUnique/>
      </w:docPartObj>
    </w:sdtPr>
    <w:sdtEndPr>
      <w:rPr>
        <w:noProof/>
      </w:rPr>
    </w:sdtEndPr>
    <w:sdtContent>
      <w:p w:rsidR="00045D2A" w:rsidRDefault="00045D2A">
        <w:pPr>
          <w:pStyle w:val="Footer"/>
          <w:jc w:val="right"/>
        </w:pPr>
        <w:r>
          <w:fldChar w:fldCharType="begin"/>
        </w:r>
        <w:r>
          <w:instrText xml:space="preserve"> PAGE   \* MERGEFORMAT </w:instrText>
        </w:r>
        <w:r>
          <w:fldChar w:fldCharType="separate"/>
        </w:r>
        <w:r w:rsidR="00BC743E">
          <w:rPr>
            <w:noProof/>
          </w:rPr>
          <w:t>1</w:t>
        </w:r>
        <w:r>
          <w:rPr>
            <w:noProof/>
          </w:rPr>
          <w:fldChar w:fldCharType="end"/>
        </w:r>
      </w:p>
    </w:sdtContent>
  </w:sdt>
  <w:p w:rsidR="00045D2A" w:rsidRDefault="00045D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1B8" w:rsidRDefault="001751B8" w:rsidP="002E31B1">
      <w:r>
        <w:separator/>
      </w:r>
    </w:p>
  </w:footnote>
  <w:footnote w:type="continuationSeparator" w:id="0">
    <w:p w:rsidR="001751B8" w:rsidRDefault="001751B8" w:rsidP="002E31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B2032"/>
    <w:multiLevelType w:val="hybridMultilevel"/>
    <w:tmpl w:val="CB725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814CF7"/>
    <w:multiLevelType w:val="hybridMultilevel"/>
    <w:tmpl w:val="BF7A5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09482F"/>
    <w:multiLevelType w:val="hybridMultilevel"/>
    <w:tmpl w:val="0DD4DC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F50"/>
    <w:rsid w:val="00000797"/>
    <w:rsid w:val="0000670C"/>
    <w:rsid w:val="000141FB"/>
    <w:rsid w:val="00016049"/>
    <w:rsid w:val="00017CDB"/>
    <w:rsid w:val="00025E8F"/>
    <w:rsid w:val="000261D1"/>
    <w:rsid w:val="00045BA9"/>
    <w:rsid w:val="00045D2A"/>
    <w:rsid w:val="00050211"/>
    <w:rsid w:val="000577F0"/>
    <w:rsid w:val="00073CBA"/>
    <w:rsid w:val="00080FEB"/>
    <w:rsid w:val="00086922"/>
    <w:rsid w:val="0009529D"/>
    <w:rsid w:val="000A1A3C"/>
    <w:rsid w:val="000A4F13"/>
    <w:rsid w:val="000A7E63"/>
    <w:rsid w:val="000B09D8"/>
    <w:rsid w:val="000B2216"/>
    <w:rsid w:val="000C231D"/>
    <w:rsid w:val="000D207E"/>
    <w:rsid w:val="000D5651"/>
    <w:rsid w:val="000E1121"/>
    <w:rsid w:val="000E3D4A"/>
    <w:rsid w:val="000E62CF"/>
    <w:rsid w:val="000E7DCA"/>
    <w:rsid w:val="000F0464"/>
    <w:rsid w:val="000F0597"/>
    <w:rsid w:val="000F073A"/>
    <w:rsid w:val="000F2502"/>
    <w:rsid w:val="000F31DD"/>
    <w:rsid w:val="00102C90"/>
    <w:rsid w:val="00103110"/>
    <w:rsid w:val="001219B1"/>
    <w:rsid w:val="001239B0"/>
    <w:rsid w:val="0013101B"/>
    <w:rsid w:val="00133A2A"/>
    <w:rsid w:val="00141AFB"/>
    <w:rsid w:val="00142542"/>
    <w:rsid w:val="00144D4F"/>
    <w:rsid w:val="0015243B"/>
    <w:rsid w:val="001751B8"/>
    <w:rsid w:val="001921D6"/>
    <w:rsid w:val="00196BD9"/>
    <w:rsid w:val="001A6496"/>
    <w:rsid w:val="001B23E5"/>
    <w:rsid w:val="001B507B"/>
    <w:rsid w:val="001B53AD"/>
    <w:rsid w:val="001C21AD"/>
    <w:rsid w:val="001C6E05"/>
    <w:rsid w:val="001D5D2A"/>
    <w:rsid w:val="001F6EF7"/>
    <w:rsid w:val="002052EE"/>
    <w:rsid w:val="00210992"/>
    <w:rsid w:val="002223FC"/>
    <w:rsid w:val="002272EB"/>
    <w:rsid w:val="00227E3F"/>
    <w:rsid w:val="002330B4"/>
    <w:rsid w:val="00236D33"/>
    <w:rsid w:val="002636CD"/>
    <w:rsid w:val="00274DD8"/>
    <w:rsid w:val="00275D5B"/>
    <w:rsid w:val="00284486"/>
    <w:rsid w:val="00284BA1"/>
    <w:rsid w:val="00285204"/>
    <w:rsid w:val="00296A06"/>
    <w:rsid w:val="00297D99"/>
    <w:rsid w:val="00297FD5"/>
    <w:rsid w:val="002B39F3"/>
    <w:rsid w:val="002B5E97"/>
    <w:rsid w:val="002C29DF"/>
    <w:rsid w:val="002D55F3"/>
    <w:rsid w:val="002D5833"/>
    <w:rsid w:val="002D5A7B"/>
    <w:rsid w:val="002E21B3"/>
    <w:rsid w:val="002E2C14"/>
    <w:rsid w:val="002E2CF8"/>
    <w:rsid w:val="002E2FF7"/>
    <w:rsid w:val="002E31B1"/>
    <w:rsid w:val="002F6D56"/>
    <w:rsid w:val="002F770C"/>
    <w:rsid w:val="0031143D"/>
    <w:rsid w:val="00311441"/>
    <w:rsid w:val="00314750"/>
    <w:rsid w:val="00314F54"/>
    <w:rsid w:val="00316D39"/>
    <w:rsid w:val="003221DA"/>
    <w:rsid w:val="00326F76"/>
    <w:rsid w:val="00337A8A"/>
    <w:rsid w:val="00361BA1"/>
    <w:rsid w:val="00365293"/>
    <w:rsid w:val="003652BF"/>
    <w:rsid w:val="003675E5"/>
    <w:rsid w:val="00367A97"/>
    <w:rsid w:val="0038316B"/>
    <w:rsid w:val="003925C4"/>
    <w:rsid w:val="003953D0"/>
    <w:rsid w:val="003963CB"/>
    <w:rsid w:val="003A05F9"/>
    <w:rsid w:val="003A60E7"/>
    <w:rsid w:val="003A7791"/>
    <w:rsid w:val="003C12D6"/>
    <w:rsid w:val="003C5409"/>
    <w:rsid w:val="003C6564"/>
    <w:rsid w:val="003D2D13"/>
    <w:rsid w:val="003D2ED0"/>
    <w:rsid w:val="003E5D0D"/>
    <w:rsid w:val="003F0E23"/>
    <w:rsid w:val="00402219"/>
    <w:rsid w:val="00411D50"/>
    <w:rsid w:val="00413423"/>
    <w:rsid w:val="00416C5A"/>
    <w:rsid w:val="00421939"/>
    <w:rsid w:val="004238D2"/>
    <w:rsid w:val="00430D84"/>
    <w:rsid w:val="00441FBE"/>
    <w:rsid w:val="0044547E"/>
    <w:rsid w:val="00446612"/>
    <w:rsid w:val="004472B3"/>
    <w:rsid w:val="00453147"/>
    <w:rsid w:val="00454B8D"/>
    <w:rsid w:val="0047040C"/>
    <w:rsid w:val="00476D19"/>
    <w:rsid w:val="00484791"/>
    <w:rsid w:val="004B017B"/>
    <w:rsid w:val="004B69C7"/>
    <w:rsid w:val="004C0F25"/>
    <w:rsid w:val="004D43EA"/>
    <w:rsid w:val="004D5975"/>
    <w:rsid w:val="004F7689"/>
    <w:rsid w:val="00512789"/>
    <w:rsid w:val="00513724"/>
    <w:rsid w:val="00525A6C"/>
    <w:rsid w:val="005301A5"/>
    <w:rsid w:val="00532162"/>
    <w:rsid w:val="005414EA"/>
    <w:rsid w:val="00542D59"/>
    <w:rsid w:val="00553928"/>
    <w:rsid w:val="00570B40"/>
    <w:rsid w:val="00570E91"/>
    <w:rsid w:val="0059106E"/>
    <w:rsid w:val="005A4ABA"/>
    <w:rsid w:val="005A7A9D"/>
    <w:rsid w:val="005B2F60"/>
    <w:rsid w:val="005B7B42"/>
    <w:rsid w:val="005C5C82"/>
    <w:rsid w:val="005E13F8"/>
    <w:rsid w:val="005F4252"/>
    <w:rsid w:val="005F56AF"/>
    <w:rsid w:val="005F6B96"/>
    <w:rsid w:val="005F7637"/>
    <w:rsid w:val="00613C16"/>
    <w:rsid w:val="00614D91"/>
    <w:rsid w:val="00617F0C"/>
    <w:rsid w:val="0062605A"/>
    <w:rsid w:val="00627C27"/>
    <w:rsid w:val="00633078"/>
    <w:rsid w:val="0064156C"/>
    <w:rsid w:val="0064521B"/>
    <w:rsid w:val="00647574"/>
    <w:rsid w:val="00647E22"/>
    <w:rsid w:val="00651C55"/>
    <w:rsid w:val="0065201C"/>
    <w:rsid w:val="0066094B"/>
    <w:rsid w:val="00666D90"/>
    <w:rsid w:val="00677CEA"/>
    <w:rsid w:val="00682D33"/>
    <w:rsid w:val="006B126D"/>
    <w:rsid w:val="006B6B6A"/>
    <w:rsid w:val="006B707A"/>
    <w:rsid w:val="006D1BD5"/>
    <w:rsid w:val="006D4BE8"/>
    <w:rsid w:val="006E55DD"/>
    <w:rsid w:val="006E7EFB"/>
    <w:rsid w:val="006F325C"/>
    <w:rsid w:val="006F7D24"/>
    <w:rsid w:val="00702E20"/>
    <w:rsid w:val="0070363E"/>
    <w:rsid w:val="00704577"/>
    <w:rsid w:val="007118D5"/>
    <w:rsid w:val="00715EC0"/>
    <w:rsid w:val="00716B43"/>
    <w:rsid w:val="00742414"/>
    <w:rsid w:val="0074494F"/>
    <w:rsid w:val="00744F15"/>
    <w:rsid w:val="007460B9"/>
    <w:rsid w:val="00747AC5"/>
    <w:rsid w:val="00761F69"/>
    <w:rsid w:val="007768AA"/>
    <w:rsid w:val="00781EBF"/>
    <w:rsid w:val="00783527"/>
    <w:rsid w:val="007874C5"/>
    <w:rsid w:val="00787FC7"/>
    <w:rsid w:val="007A3AEA"/>
    <w:rsid w:val="007A41C9"/>
    <w:rsid w:val="007A79D9"/>
    <w:rsid w:val="007B2497"/>
    <w:rsid w:val="007E1670"/>
    <w:rsid w:val="007E22FD"/>
    <w:rsid w:val="007F512C"/>
    <w:rsid w:val="007F7C82"/>
    <w:rsid w:val="0080213D"/>
    <w:rsid w:val="00806C66"/>
    <w:rsid w:val="00807834"/>
    <w:rsid w:val="00813A7B"/>
    <w:rsid w:val="00837321"/>
    <w:rsid w:val="0084191A"/>
    <w:rsid w:val="0084278A"/>
    <w:rsid w:val="00855621"/>
    <w:rsid w:val="00857219"/>
    <w:rsid w:val="00863173"/>
    <w:rsid w:val="00870438"/>
    <w:rsid w:val="00876EFF"/>
    <w:rsid w:val="00884295"/>
    <w:rsid w:val="00884BDC"/>
    <w:rsid w:val="00884CC0"/>
    <w:rsid w:val="00887FD5"/>
    <w:rsid w:val="00895C66"/>
    <w:rsid w:val="008A4241"/>
    <w:rsid w:val="008A4E2B"/>
    <w:rsid w:val="008B1CFB"/>
    <w:rsid w:val="008C554D"/>
    <w:rsid w:val="008D472A"/>
    <w:rsid w:val="008E1462"/>
    <w:rsid w:val="008F23B2"/>
    <w:rsid w:val="008F3571"/>
    <w:rsid w:val="00901E66"/>
    <w:rsid w:val="00907965"/>
    <w:rsid w:val="00915259"/>
    <w:rsid w:val="00922F59"/>
    <w:rsid w:val="0092446F"/>
    <w:rsid w:val="00932EE4"/>
    <w:rsid w:val="009410B1"/>
    <w:rsid w:val="00941AD2"/>
    <w:rsid w:val="009523DF"/>
    <w:rsid w:val="00953EB9"/>
    <w:rsid w:val="009565BE"/>
    <w:rsid w:val="00961592"/>
    <w:rsid w:val="0096531B"/>
    <w:rsid w:val="009766C8"/>
    <w:rsid w:val="009810E8"/>
    <w:rsid w:val="009815C3"/>
    <w:rsid w:val="009A070A"/>
    <w:rsid w:val="009B1173"/>
    <w:rsid w:val="009B14A3"/>
    <w:rsid w:val="009C57F1"/>
    <w:rsid w:val="009C591F"/>
    <w:rsid w:val="009D54B7"/>
    <w:rsid w:val="009D5FA4"/>
    <w:rsid w:val="009E0A78"/>
    <w:rsid w:val="00A007D7"/>
    <w:rsid w:val="00A12565"/>
    <w:rsid w:val="00A13220"/>
    <w:rsid w:val="00A16EC4"/>
    <w:rsid w:val="00A20F31"/>
    <w:rsid w:val="00A23796"/>
    <w:rsid w:val="00A24EA1"/>
    <w:rsid w:val="00A32EC1"/>
    <w:rsid w:val="00A3629F"/>
    <w:rsid w:val="00A438BC"/>
    <w:rsid w:val="00A51E1F"/>
    <w:rsid w:val="00A534FC"/>
    <w:rsid w:val="00A61860"/>
    <w:rsid w:val="00A700CF"/>
    <w:rsid w:val="00A87E81"/>
    <w:rsid w:val="00A9469C"/>
    <w:rsid w:val="00A968C7"/>
    <w:rsid w:val="00AA1968"/>
    <w:rsid w:val="00AA5189"/>
    <w:rsid w:val="00AB2B3E"/>
    <w:rsid w:val="00AC06E0"/>
    <w:rsid w:val="00AC6F80"/>
    <w:rsid w:val="00AC7173"/>
    <w:rsid w:val="00AD0E65"/>
    <w:rsid w:val="00AD35AB"/>
    <w:rsid w:val="00AF4D67"/>
    <w:rsid w:val="00AF72C4"/>
    <w:rsid w:val="00B0353D"/>
    <w:rsid w:val="00B03CA0"/>
    <w:rsid w:val="00B22334"/>
    <w:rsid w:val="00B232D2"/>
    <w:rsid w:val="00B24A76"/>
    <w:rsid w:val="00B27790"/>
    <w:rsid w:val="00B27DF6"/>
    <w:rsid w:val="00B31C28"/>
    <w:rsid w:val="00B45950"/>
    <w:rsid w:val="00B55206"/>
    <w:rsid w:val="00B62276"/>
    <w:rsid w:val="00B62F21"/>
    <w:rsid w:val="00B65BCB"/>
    <w:rsid w:val="00B743D2"/>
    <w:rsid w:val="00B77955"/>
    <w:rsid w:val="00B82398"/>
    <w:rsid w:val="00BB64A1"/>
    <w:rsid w:val="00BC0601"/>
    <w:rsid w:val="00BC743E"/>
    <w:rsid w:val="00BE56FC"/>
    <w:rsid w:val="00BE752E"/>
    <w:rsid w:val="00BF2126"/>
    <w:rsid w:val="00BF4488"/>
    <w:rsid w:val="00C0632A"/>
    <w:rsid w:val="00C06561"/>
    <w:rsid w:val="00C167F5"/>
    <w:rsid w:val="00C24E0B"/>
    <w:rsid w:val="00C5779B"/>
    <w:rsid w:val="00C67748"/>
    <w:rsid w:val="00C70FAF"/>
    <w:rsid w:val="00C72420"/>
    <w:rsid w:val="00C740A1"/>
    <w:rsid w:val="00C841C2"/>
    <w:rsid w:val="00C8619E"/>
    <w:rsid w:val="00C9135E"/>
    <w:rsid w:val="00C929F6"/>
    <w:rsid w:val="00C938CC"/>
    <w:rsid w:val="00C94AF6"/>
    <w:rsid w:val="00C956ED"/>
    <w:rsid w:val="00CA11F3"/>
    <w:rsid w:val="00CA63BA"/>
    <w:rsid w:val="00CB64F0"/>
    <w:rsid w:val="00CD289F"/>
    <w:rsid w:val="00CF067A"/>
    <w:rsid w:val="00CF3DBE"/>
    <w:rsid w:val="00D0644B"/>
    <w:rsid w:val="00D1565C"/>
    <w:rsid w:val="00D17A29"/>
    <w:rsid w:val="00D32E63"/>
    <w:rsid w:val="00D347FF"/>
    <w:rsid w:val="00D410B2"/>
    <w:rsid w:val="00D457E3"/>
    <w:rsid w:val="00D60906"/>
    <w:rsid w:val="00D76EA5"/>
    <w:rsid w:val="00D83C0D"/>
    <w:rsid w:val="00D90362"/>
    <w:rsid w:val="00DA23FB"/>
    <w:rsid w:val="00DA3D31"/>
    <w:rsid w:val="00DD1B8D"/>
    <w:rsid w:val="00DD3B77"/>
    <w:rsid w:val="00DD4948"/>
    <w:rsid w:val="00DE06B5"/>
    <w:rsid w:val="00DE3E95"/>
    <w:rsid w:val="00DF0747"/>
    <w:rsid w:val="00DF6CAB"/>
    <w:rsid w:val="00E03AB8"/>
    <w:rsid w:val="00E040C0"/>
    <w:rsid w:val="00E134EE"/>
    <w:rsid w:val="00E251A4"/>
    <w:rsid w:val="00E304AB"/>
    <w:rsid w:val="00E31336"/>
    <w:rsid w:val="00E453C6"/>
    <w:rsid w:val="00E46067"/>
    <w:rsid w:val="00E46BD0"/>
    <w:rsid w:val="00E629B8"/>
    <w:rsid w:val="00E65096"/>
    <w:rsid w:val="00E657AF"/>
    <w:rsid w:val="00E660BA"/>
    <w:rsid w:val="00E671A3"/>
    <w:rsid w:val="00E675E0"/>
    <w:rsid w:val="00E7075B"/>
    <w:rsid w:val="00E70F7D"/>
    <w:rsid w:val="00E86ED9"/>
    <w:rsid w:val="00E906DE"/>
    <w:rsid w:val="00E95D33"/>
    <w:rsid w:val="00E97BDA"/>
    <w:rsid w:val="00EE0F61"/>
    <w:rsid w:val="00EE31AF"/>
    <w:rsid w:val="00EF52AF"/>
    <w:rsid w:val="00F23F50"/>
    <w:rsid w:val="00F329D2"/>
    <w:rsid w:val="00F364C1"/>
    <w:rsid w:val="00F4103C"/>
    <w:rsid w:val="00F9404D"/>
    <w:rsid w:val="00FA74CB"/>
    <w:rsid w:val="00FC2FE5"/>
    <w:rsid w:val="00FD6707"/>
    <w:rsid w:val="00FF6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141AFB"/>
    <w:pPr>
      <w:keepNext/>
      <w:outlineLvl w:val="2"/>
    </w:pPr>
    <w:rPr>
      <w:rFonts w:ascii="Times New Roman" w:eastAsia="Times New Roman" w:hAnsi="Times New Roman" w:cs="Times New Roman"/>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207E"/>
    <w:rPr>
      <w:color w:val="808080"/>
    </w:rPr>
  </w:style>
  <w:style w:type="paragraph" w:styleId="BalloonText">
    <w:name w:val="Balloon Text"/>
    <w:basedOn w:val="Normal"/>
    <w:link w:val="BalloonTextChar"/>
    <w:uiPriority w:val="99"/>
    <w:semiHidden/>
    <w:unhideWhenUsed/>
    <w:rsid w:val="000D207E"/>
    <w:rPr>
      <w:rFonts w:ascii="Tahoma" w:hAnsi="Tahoma" w:cs="Tahoma"/>
      <w:sz w:val="16"/>
      <w:szCs w:val="16"/>
    </w:rPr>
  </w:style>
  <w:style w:type="character" w:customStyle="1" w:styleId="BalloonTextChar">
    <w:name w:val="Balloon Text Char"/>
    <w:basedOn w:val="DefaultParagraphFont"/>
    <w:link w:val="BalloonText"/>
    <w:uiPriority w:val="99"/>
    <w:semiHidden/>
    <w:rsid w:val="000D207E"/>
    <w:rPr>
      <w:rFonts w:ascii="Tahoma" w:hAnsi="Tahoma" w:cs="Tahoma"/>
      <w:sz w:val="16"/>
      <w:szCs w:val="16"/>
    </w:rPr>
  </w:style>
  <w:style w:type="paragraph" w:styleId="Header">
    <w:name w:val="header"/>
    <w:basedOn w:val="Normal"/>
    <w:link w:val="HeaderChar"/>
    <w:uiPriority w:val="99"/>
    <w:unhideWhenUsed/>
    <w:rsid w:val="002E31B1"/>
    <w:pPr>
      <w:tabs>
        <w:tab w:val="center" w:pos="4680"/>
        <w:tab w:val="right" w:pos="9360"/>
      </w:tabs>
    </w:pPr>
  </w:style>
  <w:style w:type="character" w:customStyle="1" w:styleId="HeaderChar">
    <w:name w:val="Header Char"/>
    <w:basedOn w:val="DefaultParagraphFont"/>
    <w:link w:val="Header"/>
    <w:uiPriority w:val="99"/>
    <w:rsid w:val="002E31B1"/>
  </w:style>
  <w:style w:type="paragraph" w:styleId="Footer">
    <w:name w:val="footer"/>
    <w:basedOn w:val="Normal"/>
    <w:link w:val="FooterChar"/>
    <w:uiPriority w:val="99"/>
    <w:unhideWhenUsed/>
    <w:rsid w:val="002E31B1"/>
    <w:pPr>
      <w:tabs>
        <w:tab w:val="center" w:pos="4680"/>
        <w:tab w:val="right" w:pos="9360"/>
      </w:tabs>
    </w:pPr>
  </w:style>
  <w:style w:type="character" w:customStyle="1" w:styleId="FooterChar">
    <w:name w:val="Footer Char"/>
    <w:basedOn w:val="DefaultParagraphFont"/>
    <w:link w:val="Footer"/>
    <w:uiPriority w:val="99"/>
    <w:rsid w:val="002E31B1"/>
  </w:style>
  <w:style w:type="table" w:styleId="TableGrid">
    <w:name w:val="Table Grid"/>
    <w:basedOn w:val="TableNormal"/>
    <w:uiPriority w:val="59"/>
    <w:rsid w:val="000E7D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B39F3"/>
    <w:pPr>
      <w:ind w:left="720"/>
      <w:contextualSpacing/>
    </w:pPr>
  </w:style>
  <w:style w:type="paragraph" w:customStyle="1" w:styleId="Default">
    <w:name w:val="Default"/>
    <w:rsid w:val="00141AFB"/>
    <w:pPr>
      <w:autoSpaceDE w:val="0"/>
      <w:autoSpaceDN w:val="0"/>
      <w:adjustRightInd w:val="0"/>
    </w:pPr>
    <w:rPr>
      <w:rFonts w:ascii="Times New Roman" w:hAnsi="Times New Roman" w:cs="Times New Roman"/>
      <w:color w:val="000000"/>
      <w:sz w:val="24"/>
      <w:szCs w:val="24"/>
    </w:rPr>
  </w:style>
  <w:style w:type="character" w:customStyle="1" w:styleId="Heading3Char">
    <w:name w:val="Heading 3 Char"/>
    <w:basedOn w:val="DefaultParagraphFont"/>
    <w:link w:val="Heading3"/>
    <w:rsid w:val="00141AFB"/>
    <w:rPr>
      <w:rFonts w:ascii="Times New Roman" w:eastAsia="Times New Roman" w:hAnsi="Times New Roman" w:cs="Times New Roman"/>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141AFB"/>
    <w:pPr>
      <w:keepNext/>
      <w:outlineLvl w:val="2"/>
    </w:pPr>
    <w:rPr>
      <w:rFonts w:ascii="Times New Roman" w:eastAsia="Times New Roman" w:hAnsi="Times New Roman" w:cs="Times New Roman"/>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207E"/>
    <w:rPr>
      <w:color w:val="808080"/>
    </w:rPr>
  </w:style>
  <w:style w:type="paragraph" w:styleId="BalloonText">
    <w:name w:val="Balloon Text"/>
    <w:basedOn w:val="Normal"/>
    <w:link w:val="BalloonTextChar"/>
    <w:uiPriority w:val="99"/>
    <w:semiHidden/>
    <w:unhideWhenUsed/>
    <w:rsid w:val="000D207E"/>
    <w:rPr>
      <w:rFonts w:ascii="Tahoma" w:hAnsi="Tahoma" w:cs="Tahoma"/>
      <w:sz w:val="16"/>
      <w:szCs w:val="16"/>
    </w:rPr>
  </w:style>
  <w:style w:type="character" w:customStyle="1" w:styleId="BalloonTextChar">
    <w:name w:val="Balloon Text Char"/>
    <w:basedOn w:val="DefaultParagraphFont"/>
    <w:link w:val="BalloonText"/>
    <w:uiPriority w:val="99"/>
    <w:semiHidden/>
    <w:rsid w:val="000D207E"/>
    <w:rPr>
      <w:rFonts w:ascii="Tahoma" w:hAnsi="Tahoma" w:cs="Tahoma"/>
      <w:sz w:val="16"/>
      <w:szCs w:val="16"/>
    </w:rPr>
  </w:style>
  <w:style w:type="paragraph" w:styleId="Header">
    <w:name w:val="header"/>
    <w:basedOn w:val="Normal"/>
    <w:link w:val="HeaderChar"/>
    <w:uiPriority w:val="99"/>
    <w:unhideWhenUsed/>
    <w:rsid w:val="002E31B1"/>
    <w:pPr>
      <w:tabs>
        <w:tab w:val="center" w:pos="4680"/>
        <w:tab w:val="right" w:pos="9360"/>
      </w:tabs>
    </w:pPr>
  </w:style>
  <w:style w:type="character" w:customStyle="1" w:styleId="HeaderChar">
    <w:name w:val="Header Char"/>
    <w:basedOn w:val="DefaultParagraphFont"/>
    <w:link w:val="Header"/>
    <w:uiPriority w:val="99"/>
    <w:rsid w:val="002E31B1"/>
  </w:style>
  <w:style w:type="paragraph" w:styleId="Footer">
    <w:name w:val="footer"/>
    <w:basedOn w:val="Normal"/>
    <w:link w:val="FooterChar"/>
    <w:uiPriority w:val="99"/>
    <w:unhideWhenUsed/>
    <w:rsid w:val="002E31B1"/>
    <w:pPr>
      <w:tabs>
        <w:tab w:val="center" w:pos="4680"/>
        <w:tab w:val="right" w:pos="9360"/>
      </w:tabs>
    </w:pPr>
  </w:style>
  <w:style w:type="character" w:customStyle="1" w:styleId="FooterChar">
    <w:name w:val="Footer Char"/>
    <w:basedOn w:val="DefaultParagraphFont"/>
    <w:link w:val="Footer"/>
    <w:uiPriority w:val="99"/>
    <w:rsid w:val="002E31B1"/>
  </w:style>
  <w:style w:type="table" w:styleId="TableGrid">
    <w:name w:val="Table Grid"/>
    <w:basedOn w:val="TableNormal"/>
    <w:uiPriority w:val="59"/>
    <w:rsid w:val="000E7D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B39F3"/>
    <w:pPr>
      <w:ind w:left="720"/>
      <w:contextualSpacing/>
    </w:pPr>
  </w:style>
  <w:style w:type="paragraph" w:customStyle="1" w:styleId="Default">
    <w:name w:val="Default"/>
    <w:rsid w:val="00141AFB"/>
    <w:pPr>
      <w:autoSpaceDE w:val="0"/>
      <w:autoSpaceDN w:val="0"/>
      <w:adjustRightInd w:val="0"/>
    </w:pPr>
    <w:rPr>
      <w:rFonts w:ascii="Times New Roman" w:hAnsi="Times New Roman" w:cs="Times New Roman"/>
      <w:color w:val="000000"/>
      <w:sz w:val="24"/>
      <w:szCs w:val="24"/>
    </w:rPr>
  </w:style>
  <w:style w:type="character" w:customStyle="1" w:styleId="Heading3Char">
    <w:name w:val="Heading 3 Char"/>
    <w:basedOn w:val="DefaultParagraphFont"/>
    <w:link w:val="Heading3"/>
    <w:rsid w:val="00141AFB"/>
    <w:rPr>
      <w:rFonts w:ascii="Times New Roman" w:eastAsia="Times New Roman" w:hAnsi="Times New Roman" w:cs="Times New Roman"/>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238705">
      <w:bodyDiv w:val="1"/>
      <w:marLeft w:val="0"/>
      <w:marRight w:val="0"/>
      <w:marTop w:val="0"/>
      <w:marBottom w:val="0"/>
      <w:divBdr>
        <w:top w:val="none" w:sz="0" w:space="0" w:color="auto"/>
        <w:left w:val="none" w:sz="0" w:space="0" w:color="auto"/>
        <w:bottom w:val="none" w:sz="0" w:space="0" w:color="auto"/>
        <w:right w:val="none" w:sz="0" w:space="0" w:color="auto"/>
      </w:divBdr>
    </w:div>
    <w:div w:id="915407712">
      <w:bodyDiv w:val="1"/>
      <w:marLeft w:val="0"/>
      <w:marRight w:val="0"/>
      <w:marTop w:val="0"/>
      <w:marBottom w:val="0"/>
      <w:divBdr>
        <w:top w:val="none" w:sz="0" w:space="0" w:color="auto"/>
        <w:left w:val="none" w:sz="0" w:space="0" w:color="auto"/>
        <w:bottom w:val="none" w:sz="0" w:space="0" w:color="auto"/>
        <w:right w:val="none" w:sz="0" w:space="0" w:color="auto"/>
      </w:divBdr>
    </w:div>
    <w:div w:id="1559130027">
      <w:bodyDiv w:val="1"/>
      <w:marLeft w:val="0"/>
      <w:marRight w:val="0"/>
      <w:marTop w:val="0"/>
      <w:marBottom w:val="0"/>
      <w:divBdr>
        <w:top w:val="none" w:sz="0" w:space="0" w:color="auto"/>
        <w:left w:val="none" w:sz="0" w:space="0" w:color="auto"/>
        <w:bottom w:val="none" w:sz="0" w:space="0" w:color="auto"/>
        <w:right w:val="none" w:sz="0" w:space="0" w:color="auto"/>
      </w:divBdr>
    </w:div>
    <w:div w:id="1859584003">
      <w:bodyDiv w:val="1"/>
      <w:marLeft w:val="0"/>
      <w:marRight w:val="0"/>
      <w:marTop w:val="0"/>
      <w:marBottom w:val="0"/>
      <w:divBdr>
        <w:top w:val="none" w:sz="0" w:space="0" w:color="auto"/>
        <w:left w:val="none" w:sz="0" w:space="0" w:color="auto"/>
        <w:bottom w:val="none" w:sz="0" w:space="0" w:color="auto"/>
        <w:right w:val="none" w:sz="0" w:space="0" w:color="auto"/>
      </w:divBdr>
    </w:div>
    <w:div w:id="212981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875CF-9357-48E6-A0BC-F9CC0FB25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 W Griffin</dc:creator>
  <cp:lastModifiedBy>Bryan</cp:lastModifiedBy>
  <cp:revision>6</cp:revision>
  <cp:lastPrinted>2012-09-24T17:52:00Z</cp:lastPrinted>
  <dcterms:created xsi:type="dcterms:W3CDTF">2012-09-27T11:25:00Z</dcterms:created>
  <dcterms:modified xsi:type="dcterms:W3CDTF">2012-09-27T11:28:00Z</dcterms:modified>
</cp:coreProperties>
</file>